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215" w:rsidRPr="003A3B75" w:rsidRDefault="00F31215" w:rsidP="00F31215">
      <w:pPr>
        <w:spacing w:after="120" w:line="276" w:lineRule="auto"/>
        <w:jc w:val="right"/>
        <w:rPr>
          <w:rFonts w:ascii="Trebuchet MS" w:eastAsia="Calibri" w:hAnsi="Trebuchet MS" w:cs="Times New Roman"/>
          <w:sz w:val="24"/>
          <w:szCs w:val="24"/>
          <w:lang w:val="ro-RO"/>
        </w:rPr>
      </w:pPr>
      <w:r w:rsidRPr="003A3B75">
        <w:rPr>
          <w:rFonts w:ascii="Trebuchet MS" w:eastAsia="Calibri" w:hAnsi="Trebuchet MS" w:cs="Times New Roman"/>
          <w:sz w:val="24"/>
          <w:szCs w:val="24"/>
          <w:lang w:val="ro-RO"/>
        </w:rPr>
        <w:t xml:space="preserve">Anexa </w:t>
      </w:r>
      <w:r w:rsidR="005E7C65" w:rsidRPr="003A3B75">
        <w:rPr>
          <w:rFonts w:ascii="Trebuchet MS" w:eastAsia="Calibri" w:hAnsi="Trebuchet MS" w:cs="Times New Roman"/>
          <w:sz w:val="24"/>
          <w:szCs w:val="24"/>
          <w:lang w:val="ro-RO"/>
        </w:rPr>
        <w:t>5</w:t>
      </w:r>
    </w:p>
    <w:p w:rsidR="00F31215" w:rsidRDefault="00F31215" w:rsidP="00F31215">
      <w:pPr>
        <w:spacing w:after="120" w:line="276" w:lineRule="auto"/>
        <w:jc w:val="both"/>
        <w:rPr>
          <w:rFonts w:ascii="Trebuchet MS" w:eastAsia="Calibri" w:hAnsi="Trebuchet MS" w:cs="Times New Roman"/>
          <w:b/>
          <w:sz w:val="24"/>
          <w:szCs w:val="24"/>
          <w:lang w:val="ro-RO"/>
        </w:rPr>
      </w:pPr>
    </w:p>
    <w:p w:rsidR="00F31215" w:rsidRPr="00F31215" w:rsidRDefault="00F31215" w:rsidP="00F31215">
      <w:pPr>
        <w:spacing w:after="120" w:line="276" w:lineRule="auto"/>
        <w:jc w:val="both"/>
        <w:rPr>
          <w:rFonts w:ascii="Trebuchet MS" w:eastAsia="Calibri" w:hAnsi="Trebuchet MS" w:cs="Times New Roman"/>
          <w:b/>
          <w:lang w:val="ro-RO"/>
        </w:rPr>
      </w:pPr>
      <w:r w:rsidRPr="00F31215">
        <w:rPr>
          <w:rFonts w:ascii="Trebuchet MS" w:eastAsia="Calibri" w:hAnsi="Trebuchet MS" w:cs="Times New Roman"/>
          <w:b/>
          <w:sz w:val="24"/>
          <w:szCs w:val="24"/>
          <w:lang w:val="ro-RO"/>
        </w:rPr>
        <w:t>Cadrul instituțional al UE pentru implementarea Convenției ONU privind drepturile persoanelor cu dizabilități</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 xml:space="preserve">Convenția ONU privind drepturile persoanelor cu dizabilități (Convenția) este un instrument puternic pentru a ajuta persoanele cu dizabilități, comunitățile locale și guvernele să exploreze modalități de îndeplinire ale drepturilor persoanelor cu dizabilități prin dezvoltarea și implementarea de măsuri legale, politice și practice. </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 xml:space="preserve">Pentru a se asigura că aceste eforturi respectă cerințele Convenției și sunt puse în aplicare în mod efectiv și eficient, articolul 33 alineatul (2) din Convenția ONU privind drepturile persoanelor cu dizabilități (CDPD) impune statelor părți la Convenție stabilirea unui cadru instituțional pentru </w:t>
      </w:r>
      <w:r w:rsidRPr="00F31215">
        <w:rPr>
          <w:rFonts w:ascii="Trebuchet MS" w:eastAsia="Calibri" w:hAnsi="Trebuchet MS" w:cs="Times New Roman"/>
          <w:i/>
          <w:lang w:val="ro-RO"/>
        </w:rPr>
        <w:t>promovarea, protejarea și monitorizarea punerii în aplicare a CDPD</w:t>
      </w:r>
      <w:r w:rsidRPr="00F31215">
        <w:rPr>
          <w:rFonts w:ascii="Trebuchet MS" w:eastAsia="Calibri" w:hAnsi="Trebuchet MS" w:cs="Times New Roman"/>
          <w:lang w:val="ro-RO"/>
        </w:rPr>
        <w:t xml:space="preserve">. </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Ca parte semnatară a Convenției ONU privind dr</w:t>
      </w:r>
      <w:bookmarkStart w:id="0" w:name="_GoBack"/>
      <w:bookmarkEnd w:id="0"/>
      <w:r w:rsidRPr="00F31215">
        <w:rPr>
          <w:rFonts w:ascii="Trebuchet MS" w:eastAsia="Calibri" w:hAnsi="Trebuchet MS" w:cs="Times New Roman"/>
          <w:lang w:val="ro-RO"/>
        </w:rPr>
        <w:t>epturile persoanelor cu dizabilități, Uniunea Europeană</w:t>
      </w:r>
      <w:r w:rsidRPr="00F31215">
        <w:rPr>
          <w:rFonts w:ascii="Trebuchet MS" w:eastAsia="Calibri" w:hAnsi="Trebuchet MS" w:cs="Times New Roman"/>
          <w:vertAlign w:val="superscript"/>
          <w:lang w:val="ro-RO"/>
        </w:rPr>
        <w:footnoteReference w:id="1"/>
      </w:r>
      <w:r w:rsidRPr="00F31215">
        <w:rPr>
          <w:rFonts w:ascii="Trebuchet MS" w:eastAsia="Calibri" w:hAnsi="Trebuchet MS" w:cs="Times New Roman"/>
          <w:lang w:val="ro-RO"/>
        </w:rPr>
        <w:t xml:space="preserve"> a înființat un cadru instituțional care promovează, protejează și monitorizează punerea în aplicare a convenției, în materie de competență a UE:</w:t>
      </w:r>
    </w:p>
    <w:p w:rsidR="00F31215" w:rsidRPr="00F31215" w:rsidRDefault="00F31215" w:rsidP="00F31215">
      <w:pPr>
        <w:numPr>
          <w:ilvl w:val="0"/>
          <w:numId w:val="1"/>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Legislația și politica UE: nediscriminare, drepturile persoanelor care călătoresc,</w:t>
      </w:r>
    </w:p>
    <w:p w:rsidR="00F31215" w:rsidRPr="00F31215" w:rsidRDefault="00F31215" w:rsidP="00F31215">
      <w:pPr>
        <w:numPr>
          <w:ilvl w:val="0"/>
          <w:numId w:val="1"/>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Finanțarea UE,</w:t>
      </w:r>
    </w:p>
    <w:p w:rsidR="00F31215" w:rsidRPr="00F31215" w:rsidRDefault="00F31215" w:rsidP="00F31215">
      <w:pPr>
        <w:numPr>
          <w:ilvl w:val="0"/>
          <w:numId w:val="1"/>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Administrația publică europeană: selecția personalului, accesul la documente.</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 xml:space="preserve">Acest cadru instituțional vine în completarea mecanismelor naționale de monitorizare, care trebuie să fie principalele organisme responsabile de promovarea, protejarea și monitorizarea implementării Convenției ONU în țările UE, contribuind la îmbunătățirea sinergiilor cu acestea.  </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Componența cadrului instituțional european, așa cum a fost revizuit în februarie 2017</w:t>
      </w:r>
      <w:r w:rsidRPr="00F31215">
        <w:rPr>
          <w:rFonts w:ascii="Trebuchet MS" w:eastAsia="Calibri" w:hAnsi="Trebuchet MS" w:cs="Times New Roman"/>
          <w:vertAlign w:val="superscript"/>
          <w:lang w:val="ro-RO"/>
        </w:rPr>
        <w:footnoteReference w:id="2"/>
      </w:r>
      <w:r w:rsidRPr="00F31215">
        <w:rPr>
          <w:rFonts w:ascii="Trebuchet MS" w:eastAsia="Calibri" w:hAnsi="Trebuchet MS" w:cs="Times New Roman"/>
          <w:lang w:val="ro-RO"/>
        </w:rPr>
        <w:t>, este:</w:t>
      </w:r>
    </w:p>
    <w:p w:rsidR="00F31215" w:rsidRPr="00F31215" w:rsidRDefault="00F31215" w:rsidP="00F31215">
      <w:pPr>
        <w:numPr>
          <w:ilvl w:val="0"/>
          <w:numId w:val="2"/>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Parlamentul European (PE)</w:t>
      </w:r>
    </w:p>
    <w:p w:rsidR="00F31215" w:rsidRPr="00F31215" w:rsidRDefault="00F31215" w:rsidP="00F31215">
      <w:pPr>
        <w:numPr>
          <w:ilvl w:val="0"/>
          <w:numId w:val="2"/>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Ombudsmanul european (OE)</w:t>
      </w:r>
    </w:p>
    <w:p w:rsidR="00F31215" w:rsidRPr="00F31215" w:rsidRDefault="00F31215" w:rsidP="00F31215">
      <w:pPr>
        <w:numPr>
          <w:ilvl w:val="0"/>
          <w:numId w:val="2"/>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Agenția Europeană pentru Drepturile Fundamentale</w:t>
      </w:r>
      <w:r w:rsidRPr="00F31215">
        <w:rPr>
          <w:rFonts w:ascii="Trebuchet MS" w:eastAsia="Calibri" w:hAnsi="Trebuchet MS" w:cs="Times New Roman"/>
          <w:vertAlign w:val="superscript"/>
          <w:lang w:val="ro-RO"/>
        </w:rPr>
        <w:footnoteReference w:id="3"/>
      </w:r>
      <w:r w:rsidRPr="00F31215">
        <w:rPr>
          <w:rFonts w:ascii="Trebuchet MS" w:eastAsia="Calibri" w:hAnsi="Trebuchet MS" w:cs="Times New Roman"/>
          <w:lang w:val="ro-RO"/>
        </w:rPr>
        <w:t xml:space="preserve"> (AEDF)</w:t>
      </w:r>
    </w:p>
    <w:p w:rsidR="00F31215" w:rsidRPr="00F31215" w:rsidRDefault="00F31215" w:rsidP="00F31215">
      <w:pPr>
        <w:numPr>
          <w:ilvl w:val="0"/>
          <w:numId w:val="2"/>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Forumul European pentru Dizabilități</w:t>
      </w:r>
      <w:r w:rsidRPr="00F31215">
        <w:rPr>
          <w:rFonts w:ascii="Trebuchet MS" w:eastAsia="Calibri" w:hAnsi="Trebuchet MS" w:cs="Times New Roman"/>
          <w:vertAlign w:val="superscript"/>
          <w:lang w:val="ro-RO"/>
        </w:rPr>
        <w:footnoteReference w:id="4"/>
      </w:r>
      <w:r w:rsidRPr="00F31215">
        <w:rPr>
          <w:rFonts w:ascii="Trebuchet MS" w:eastAsia="Calibri" w:hAnsi="Trebuchet MS" w:cs="Times New Roman"/>
          <w:lang w:val="ro-RO"/>
        </w:rPr>
        <w:t xml:space="preserve"> (FED)</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Cadrul european pentru implementarea Convenției ONU privind drepturile persoanelor cu dizabilități colectează date și informații pentru a verifica dacă legislația UE și aplicarea acesteia sunt în concordanță cu prevederile Convenției.</w:t>
      </w:r>
    </w:p>
    <w:p w:rsidR="00F31215" w:rsidRPr="00F31215" w:rsidRDefault="00F31215" w:rsidP="00F31215">
      <w:pPr>
        <w:spacing w:after="120" w:line="276" w:lineRule="auto"/>
        <w:jc w:val="both"/>
        <w:rPr>
          <w:rFonts w:ascii="Trebuchet MS" w:eastAsia="Calibri" w:hAnsi="Trebuchet MS" w:cs="Times New Roman"/>
          <w:b/>
          <w:lang w:val="ro-RO"/>
        </w:rPr>
      </w:pPr>
      <w:r w:rsidRPr="00F31215">
        <w:rPr>
          <w:rFonts w:ascii="Trebuchet MS" w:eastAsia="Calibri" w:hAnsi="Trebuchet MS" w:cs="Times New Roman"/>
          <w:b/>
          <w:lang w:val="ro-RO"/>
        </w:rPr>
        <w:t>Modul în care membrii Cadrului UE monitorizează CDPD</w:t>
      </w:r>
      <w:r w:rsidRPr="00F31215">
        <w:rPr>
          <w:rFonts w:ascii="Trebuchet MS" w:eastAsia="Calibri" w:hAnsi="Trebuchet MS" w:cs="Times New Roman"/>
          <w:b/>
          <w:vertAlign w:val="superscript"/>
          <w:lang w:val="ro-RO"/>
        </w:rPr>
        <w:footnoteReference w:id="5"/>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b/>
          <w:lang w:val="ro-RO"/>
        </w:rPr>
        <w:lastRenderedPageBreak/>
        <w:t>Parlamentul European</w:t>
      </w:r>
      <w:r w:rsidRPr="00F31215">
        <w:rPr>
          <w:rFonts w:ascii="Trebuchet MS" w:eastAsia="Calibri" w:hAnsi="Trebuchet MS" w:cs="Times New Roman"/>
          <w:lang w:val="ro-RO"/>
        </w:rPr>
        <w:t xml:space="preserve"> monitorizează aplicarea legislației UE prin rapoarte de implementare, rapoarte privind drepturile omului, întrebări orale, studii și evaluări.</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În special:</w:t>
      </w:r>
    </w:p>
    <w:p w:rsidR="00F31215" w:rsidRPr="00F31215" w:rsidRDefault="00F31215" w:rsidP="00F31215">
      <w:pPr>
        <w:numPr>
          <w:ilvl w:val="0"/>
          <w:numId w:val="3"/>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Comisia pentru ocuparea forței de muncă și afaceri sociale (EMPL) este responsabilă pentru toate aspectele politicii sociale și pentru discriminarea bazată pe dizabilitate la locul de muncă și pe piața muncii;</w:t>
      </w:r>
    </w:p>
    <w:p w:rsidR="00F31215" w:rsidRPr="00F31215" w:rsidRDefault="00F31215" w:rsidP="00F31215">
      <w:pPr>
        <w:numPr>
          <w:ilvl w:val="0"/>
          <w:numId w:val="3"/>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Comisia pentru libertăți civile, justiție și afaceri interne (LIBE) este responsabilă pentru protecția pe teritoriul UE a drepturilor cetățenilor, a drepturilor omului și a drepturilor fundamentale, precum și pentru măsurile necesare pentru combaterea tuturor formelor de discriminare, inclusiv bazate pe handicap, altele decât cele bazate pe sex sau care au loc la locul de muncă și pe piața muncii;</w:t>
      </w:r>
    </w:p>
    <w:p w:rsidR="00F31215" w:rsidRPr="00F31215" w:rsidRDefault="00F31215" w:rsidP="00F31215">
      <w:pPr>
        <w:numPr>
          <w:ilvl w:val="0"/>
          <w:numId w:val="3"/>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Grupul de lucru al Biroului pentru egalitate și diversitate supraveghează măsurile administrative de punere în aplicare a CDPD în secretariatul general al Parlamentului.</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O</w:t>
      </w:r>
      <w:r w:rsidRPr="00F31215">
        <w:rPr>
          <w:rFonts w:ascii="Trebuchet MS" w:eastAsia="Calibri" w:hAnsi="Trebuchet MS" w:cs="Times New Roman"/>
          <w:b/>
          <w:lang w:val="ro-RO"/>
        </w:rPr>
        <w:t>mbudsmanul European</w:t>
      </w:r>
      <w:r w:rsidRPr="00F31215">
        <w:rPr>
          <w:rFonts w:ascii="Trebuchet MS" w:eastAsia="Calibri" w:hAnsi="Trebuchet MS" w:cs="Times New Roman"/>
          <w:lang w:val="ro-RO"/>
        </w:rPr>
        <w:t xml:space="preserve"> monitorizează proactiv activitățile administrației UE prin anchete și inițiative strategice. Exemple în acest sens sunt </w:t>
      </w:r>
      <w:r w:rsidRPr="00F31215">
        <w:rPr>
          <w:rFonts w:ascii="Trebuchet MS" w:eastAsia="Calibri" w:hAnsi="Trebuchet MS" w:cs="Times New Roman"/>
          <w:i/>
          <w:lang w:val="ro-RO"/>
        </w:rPr>
        <w:t>ancheta privind respectarea drepturilor fundamentale în politica de coeziune a Uniunii Europene și utilizarea fondurilor pentru instituționalizarea persoanelor cu dizabilități</w:t>
      </w:r>
      <w:r w:rsidRPr="00F31215">
        <w:rPr>
          <w:rFonts w:ascii="Trebuchet MS" w:eastAsia="Calibri" w:hAnsi="Trebuchet MS" w:cs="Times New Roman"/>
          <w:lang w:val="ro-RO"/>
        </w:rPr>
        <w:t xml:space="preserve">, scrisori adresate Comisiei Europene cu privire la </w:t>
      </w:r>
      <w:r w:rsidRPr="00F31215">
        <w:rPr>
          <w:rFonts w:ascii="Trebuchet MS" w:eastAsia="Calibri" w:hAnsi="Trebuchet MS" w:cs="Times New Roman"/>
          <w:i/>
          <w:lang w:val="ro-RO"/>
        </w:rPr>
        <w:t>accesibilizarea, de către persoanele cu dizabilități, a site-urilor web și a instrumentelor online pe care le administrează</w:t>
      </w:r>
      <w:r w:rsidRPr="00F31215">
        <w:rPr>
          <w:rFonts w:ascii="Trebuchet MS" w:eastAsia="Calibri" w:hAnsi="Trebuchet MS" w:cs="Times New Roman"/>
          <w:lang w:val="ro-RO"/>
        </w:rPr>
        <w:t xml:space="preserve"> și despre </w:t>
      </w:r>
      <w:r w:rsidRPr="00F31215">
        <w:rPr>
          <w:rFonts w:ascii="Trebuchet MS" w:eastAsia="Calibri" w:hAnsi="Trebuchet MS" w:cs="Times New Roman"/>
          <w:i/>
          <w:lang w:val="ro-RO"/>
        </w:rPr>
        <w:t>integrarea copiilor cu dizabilități în școlile europene</w:t>
      </w:r>
      <w:r w:rsidRPr="00F31215">
        <w:rPr>
          <w:rFonts w:ascii="Trebuchet MS" w:eastAsia="Calibri" w:hAnsi="Trebuchet MS" w:cs="Times New Roman"/>
          <w:lang w:val="ro-RO"/>
        </w:rPr>
        <w:t>.</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b/>
          <w:lang w:val="ro-RO"/>
        </w:rPr>
        <w:t>Agenția Europeană pentru Drepturile Fundamentale</w:t>
      </w:r>
      <w:r w:rsidRPr="00F31215">
        <w:rPr>
          <w:rFonts w:ascii="Trebuchet MS" w:eastAsia="Calibri" w:hAnsi="Trebuchet MS" w:cs="Times New Roman"/>
          <w:lang w:val="ro-RO"/>
        </w:rPr>
        <w:t>:</w:t>
      </w:r>
    </w:p>
    <w:p w:rsidR="00F31215" w:rsidRPr="00F31215" w:rsidRDefault="00F31215" w:rsidP="00F31215">
      <w:pPr>
        <w:numPr>
          <w:ilvl w:val="0"/>
          <w:numId w:val="4"/>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colectează date fiabile, obiective și comparabile în întreaga Uniune Europeană și oferă analize independente;</w:t>
      </w:r>
    </w:p>
    <w:p w:rsidR="00F31215" w:rsidRPr="00F31215" w:rsidRDefault="00F31215" w:rsidP="00F31215">
      <w:pPr>
        <w:numPr>
          <w:ilvl w:val="0"/>
          <w:numId w:val="4"/>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în cadrul Raportului privind drepturile fundamentale elaborează o secțiune privind evoluția implementării CDPD;</w:t>
      </w:r>
    </w:p>
    <w:p w:rsidR="00F31215" w:rsidRPr="00F31215" w:rsidRDefault="00F31215" w:rsidP="00F31215">
      <w:pPr>
        <w:numPr>
          <w:ilvl w:val="0"/>
          <w:numId w:val="4"/>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stabilește indicatori privind drepturile omului pentru a evalua implementarea acestor drepturi, inclusiv pentru persoanele cu dizabilități (ex.: participarea politică a persoanelor cu dizabilități și dreptul acestora la o viață independentă).</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b/>
          <w:lang w:val="ro-RO"/>
        </w:rPr>
        <w:t>Forumul European pentru Dizabilități</w:t>
      </w:r>
      <w:r w:rsidRPr="00F31215">
        <w:rPr>
          <w:rFonts w:ascii="Trebuchet MS" w:eastAsia="Calibri" w:hAnsi="Trebuchet MS" w:cs="Times New Roman"/>
          <w:lang w:val="ro-RO"/>
        </w:rPr>
        <w:t>:</w:t>
      </w:r>
    </w:p>
    <w:p w:rsidR="00F31215" w:rsidRPr="00F31215" w:rsidRDefault="00F31215" w:rsidP="00F31215">
      <w:pPr>
        <w:numPr>
          <w:ilvl w:val="0"/>
          <w:numId w:val="5"/>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promovează în mod independent convenția prin campanii de sensibilizare și activități media, rapoarte, organizarea de audieri și evenimente, traininguri, activități de rețea și diseminarea informațiilor relevante către organizațiile sale membre europene și naționale pentru a consolida cunoștințele tehnice și capacitatea lor de advocacy, precum și implicarea părților interesate. Alte activități de promovare strategică sunt controlul respectării legislației și politicilor UE și acordarea de consultanță tehnică autorităților publice cu privire la aplicarea convenției</w:t>
      </w:r>
      <w:r w:rsidRPr="00F31215">
        <w:rPr>
          <w:rFonts w:ascii="Trebuchet MS" w:eastAsia="Calibri" w:hAnsi="Trebuchet MS" w:cs="Times New Roman"/>
          <w:vertAlign w:val="superscript"/>
          <w:lang w:val="ro-RO"/>
        </w:rPr>
        <w:footnoteReference w:id="6"/>
      </w:r>
      <w:r w:rsidRPr="00F31215">
        <w:rPr>
          <w:rFonts w:ascii="Trebuchet MS" w:eastAsia="Calibri" w:hAnsi="Trebuchet MS" w:cs="Times New Roman"/>
          <w:lang w:val="ro-RO"/>
        </w:rPr>
        <w:t>.</w:t>
      </w:r>
    </w:p>
    <w:p w:rsidR="00F31215" w:rsidRPr="00F31215" w:rsidRDefault="00F31215" w:rsidP="00F31215">
      <w:pPr>
        <w:numPr>
          <w:ilvl w:val="0"/>
          <w:numId w:val="5"/>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lastRenderedPageBreak/>
        <w:t>monitorizează legislația UE pentru respectarea prevederilor Convenției ONU și primește plângeri cu privire la punerea în aplicare a acesteia;</w:t>
      </w:r>
    </w:p>
    <w:p w:rsidR="00F31215" w:rsidRPr="00F31215" w:rsidRDefault="00F31215" w:rsidP="00F31215">
      <w:pPr>
        <w:numPr>
          <w:ilvl w:val="0"/>
          <w:numId w:val="5"/>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 xml:space="preserve">elaborează rapoarte alternative cu privire la punerea în aplicare a prevederilor CDPD la nivelul UE (ex.: raportul alternativ privind implementarea prevederilor CDPD de către Comitetul pentru drepturile persoanelor cu dizabilități, elaborat în 2015).  </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În ceea ce privește mecanismele naționale pentru monitorizarea implementării CDPD, Agenția Europeană pentru Drepturile Fundamentale</w:t>
      </w:r>
      <w:r w:rsidRPr="00F31215">
        <w:rPr>
          <w:rFonts w:ascii="Trebuchet MS" w:eastAsia="Calibri" w:hAnsi="Trebuchet MS" w:cs="Times New Roman"/>
          <w:vertAlign w:val="superscript"/>
          <w:lang w:val="ro-RO"/>
        </w:rPr>
        <w:footnoteReference w:id="7"/>
      </w:r>
      <w:r w:rsidRPr="00F31215">
        <w:rPr>
          <w:rFonts w:ascii="Trebuchet MS" w:eastAsia="Calibri" w:hAnsi="Trebuchet MS" w:cs="Times New Roman"/>
          <w:lang w:val="ro-RO"/>
        </w:rPr>
        <w:t xml:space="preserve"> oferă câteva informații și indicații despre cum ar putea fi acestea configurate. Aceste mecanisme sunt responsabile de promovarea, protejarea și monitorizarea punerii în aplicare a Convenției la nivel național în țările care au ratificat acest document, și pot lua diverse forme, cum ar fi:</w:t>
      </w:r>
    </w:p>
    <w:p w:rsidR="00F31215" w:rsidRPr="00F31215" w:rsidRDefault="00F31215" w:rsidP="00F31215">
      <w:pPr>
        <w:numPr>
          <w:ilvl w:val="0"/>
          <w:numId w:val="6"/>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Organisme naționale privind egalitatea de șanse,</w:t>
      </w:r>
    </w:p>
    <w:p w:rsidR="00F31215" w:rsidRPr="00F31215" w:rsidRDefault="00F31215" w:rsidP="00F31215">
      <w:pPr>
        <w:numPr>
          <w:ilvl w:val="0"/>
          <w:numId w:val="6"/>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Ombudsman (Avocatul poporului),</w:t>
      </w:r>
    </w:p>
    <w:p w:rsidR="00F31215" w:rsidRPr="00F31215" w:rsidRDefault="00F31215" w:rsidP="00F31215">
      <w:pPr>
        <w:numPr>
          <w:ilvl w:val="0"/>
          <w:numId w:val="6"/>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Instituții naționale pentru drepturile omului,</w:t>
      </w:r>
    </w:p>
    <w:p w:rsidR="00F31215" w:rsidRPr="00F31215" w:rsidRDefault="00F31215" w:rsidP="00F31215">
      <w:pPr>
        <w:numPr>
          <w:ilvl w:val="0"/>
          <w:numId w:val="6"/>
        </w:numPr>
        <w:spacing w:after="120" w:line="276" w:lineRule="auto"/>
        <w:ind w:left="284" w:hanging="284"/>
        <w:jc w:val="both"/>
        <w:rPr>
          <w:rFonts w:ascii="Trebuchet MS" w:eastAsia="Calibri" w:hAnsi="Trebuchet MS" w:cs="Times New Roman"/>
          <w:lang w:val="ro-RO"/>
        </w:rPr>
      </w:pPr>
      <w:r w:rsidRPr="00F31215">
        <w:rPr>
          <w:rFonts w:ascii="Trebuchet MS" w:eastAsia="Calibri" w:hAnsi="Trebuchet MS" w:cs="Times New Roman"/>
          <w:lang w:val="ro-RO"/>
        </w:rPr>
        <w:t>Comitete de monitorizare cu participarea reprezentanților organizațiilor implicate în drepturile persoanelor cu dizabilități.</w:t>
      </w:r>
    </w:p>
    <w:p w:rsidR="00F31215" w:rsidRPr="00F31215" w:rsidRDefault="00F31215" w:rsidP="00F31215">
      <w:p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Unele dintre mecanismele de monitorizare din diferite țări sunt organizate în rețele și cooperează la nivel european:</w:t>
      </w:r>
    </w:p>
    <w:p w:rsidR="00F31215" w:rsidRPr="00F31215" w:rsidRDefault="00F31215" w:rsidP="00F31215">
      <w:pPr>
        <w:numPr>
          <w:ilvl w:val="0"/>
          <w:numId w:val="7"/>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Grupul de lucru pentru Convenția ONU privind drepturile persoanelor cu dizabilități al rețelei europene a instituțiilor naționale pentru drepturile omului</w:t>
      </w:r>
      <w:r w:rsidRPr="00F31215">
        <w:rPr>
          <w:rFonts w:ascii="Trebuchet MS" w:eastAsia="Calibri" w:hAnsi="Trebuchet MS" w:cs="Times New Roman"/>
          <w:vertAlign w:val="superscript"/>
          <w:lang w:val="ro-RO"/>
        </w:rPr>
        <w:footnoteReference w:id="8"/>
      </w:r>
      <w:r w:rsidRPr="00F31215">
        <w:rPr>
          <w:rFonts w:ascii="Trebuchet MS" w:eastAsia="Calibri" w:hAnsi="Trebuchet MS" w:cs="Times New Roman"/>
          <w:lang w:val="ro-RO"/>
        </w:rPr>
        <w:t>;</w:t>
      </w:r>
    </w:p>
    <w:p w:rsidR="00F31215" w:rsidRPr="00F31215" w:rsidRDefault="00F31215" w:rsidP="00F31215">
      <w:pPr>
        <w:numPr>
          <w:ilvl w:val="0"/>
          <w:numId w:val="7"/>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EQUINET - rețeaua europeană a organismelor privind egalitatea de șanse, reunește peste 40 de organizații din peste 30 de țări abilitate să combată discriminarea pe o serie de motive, inclusiv dizabilitatea</w:t>
      </w:r>
      <w:r w:rsidRPr="00F31215">
        <w:rPr>
          <w:rFonts w:ascii="Trebuchet MS" w:eastAsia="Calibri" w:hAnsi="Trebuchet MS" w:cs="Times New Roman"/>
          <w:vertAlign w:val="superscript"/>
          <w:lang w:val="ro-RO"/>
        </w:rPr>
        <w:footnoteReference w:id="9"/>
      </w:r>
      <w:r w:rsidRPr="00F31215">
        <w:rPr>
          <w:rFonts w:ascii="Trebuchet MS" w:eastAsia="Calibri" w:hAnsi="Trebuchet MS" w:cs="Times New Roman"/>
          <w:lang w:val="ro-RO"/>
        </w:rPr>
        <w:t>;</w:t>
      </w:r>
    </w:p>
    <w:p w:rsidR="00F31215" w:rsidRPr="00F31215" w:rsidRDefault="00F31215" w:rsidP="00F31215">
      <w:pPr>
        <w:numPr>
          <w:ilvl w:val="0"/>
          <w:numId w:val="7"/>
        </w:numPr>
        <w:spacing w:after="120" w:line="276" w:lineRule="auto"/>
        <w:jc w:val="both"/>
        <w:rPr>
          <w:rFonts w:ascii="Trebuchet MS" w:eastAsia="Calibri" w:hAnsi="Trebuchet MS" w:cs="Times New Roman"/>
          <w:lang w:val="ro-RO"/>
        </w:rPr>
      </w:pPr>
      <w:r w:rsidRPr="00F31215">
        <w:rPr>
          <w:rFonts w:ascii="Trebuchet MS" w:eastAsia="Calibri" w:hAnsi="Trebuchet MS" w:cs="Times New Roman"/>
          <w:lang w:val="ro-RO"/>
        </w:rPr>
        <w:t>Rețeaua europeană a Ombudsmanilor</w:t>
      </w:r>
      <w:r w:rsidRPr="00F31215">
        <w:rPr>
          <w:rFonts w:ascii="Trebuchet MS" w:eastAsia="Calibri" w:hAnsi="Trebuchet MS" w:cs="Times New Roman"/>
          <w:vertAlign w:val="superscript"/>
          <w:lang w:val="ro-RO"/>
        </w:rPr>
        <w:footnoteReference w:id="10"/>
      </w:r>
      <w:r w:rsidRPr="00F31215">
        <w:rPr>
          <w:rFonts w:ascii="Trebuchet MS" w:eastAsia="Calibri" w:hAnsi="Trebuchet MS" w:cs="Times New Roman"/>
          <w:lang w:val="ro-RO"/>
        </w:rPr>
        <w:t xml:space="preserve"> - formată din aproximativ 95 de birouri din peste 30 de țări europene. Unii dintre membrii acesteia acționează ca organisme de monitorizare a implementării Convenției ONU.</w:t>
      </w:r>
    </w:p>
    <w:p w:rsidR="00CB5AC5" w:rsidRDefault="003B01C9"/>
    <w:sectPr w:rsidR="00CB5AC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1C9" w:rsidRDefault="003B01C9" w:rsidP="00F31215">
      <w:pPr>
        <w:spacing w:after="0" w:line="240" w:lineRule="auto"/>
      </w:pPr>
      <w:r>
        <w:separator/>
      </w:r>
    </w:p>
  </w:endnote>
  <w:endnote w:type="continuationSeparator" w:id="0">
    <w:p w:rsidR="003B01C9" w:rsidRDefault="003B01C9" w:rsidP="00F31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363033"/>
      <w:docPartObj>
        <w:docPartGallery w:val="Page Numbers (Bottom of Page)"/>
        <w:docPartUnique/>
      </w:docPartObj>
    </w:sdtPr>
    <w:sdtEndPr>
      <w:rPr>
        <w:noProof/>
      </w:rPr>
    </w:sdtEndPr>
    <w:sdtContent>
      <w:p w:rsidR="00F31215" w:rsidRDefault="00F31215">
        <w:pPr>
          <w:pStyle w:val="Footer"/>
          <w:jc w:val="right"/>
        </w:pPr>
        <w:r>
          <w:fldChar w:fldCharType="begin"/>
        </w:r>
        <w:r>
          <w:instrText xml:space="preserve"> PAGE   \* MERGEFORMAT </w:instrText>
        </w:r>
        <w:r>
          <w:fldChar w:fldCharType="separate"/>
        </w:r>
        <w:r w:rsidR="003A3B75">
          <w:rPr>
            <w:noProof/>
          </w:rPr>
          <w:t>3</w:t>
        </w:r>
        <w:r>
          <w:rPr>
            <w:noProof/>
          </w:rPr>
          <w:fldChar w:fldCharType="end"/>
        </w:r>
      </w:p>
    </w:sdtContent>
  </w:sdt>
  <w:p w:rsidR="00F31215" w:rsidRDefault="00F312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1C9" w:rsidRDefault="003B01C9" w:rsidP="00F31215">
      <w:pPr>
        <w:spacing w:after="0" w:line="240" w:lineRule="auto"/>
      </w:pPr>
      <w:r>
        <w:separator/>
      </w:r>
    </w:p>
  </w:footnote>
  <w:footnote w:type="continuationSeparator" w:id="0">
    <w:p w:rsidR="003B01C9" w:rsidRDefault="003B01C9" w:rsidP="00F31215">
      <w:pPr>
        <w:spacing w:after="0" w:line="240" w:lineRule="auto"/>
      </w:pPr>
      <w:r>
        <w:continuationSeparator/>
      </w:r>
    </w:p>
  </w:footnote>
  <w:footnote w:id="1">
    <w:p w:rsidR="00F31215" w:rsidRPr="00FC6828" w:rsidRDefault="00F31215" w:rsidP="00F31215">
      <w:pPr>
        <w:pStyle w:val="f1"/>
        <w:rPr>
          <w:rFonts w:ascii="Trebuchet MS" w:hAnsi="Trebuchet MS"/>
          <w:sz w:val="16"/>
          <w:szCs w:val="16"/>
        </w:rPr>
      </w:pPr>
      <w:r w:rsidRPr="00FC6828">
        <w:rPr>
          <w:rStyle w:val="FootnoteReference"/>
          <w:rFonts w:ascii="Trebuchet MS" w:hAnsi="Trebuchet MS"/>
          <w:sz w:val="16"/>
          <w:szCs w:val="16"/>
        </w:rPr>
        <w:footnoteRef/>
      </w:r>
      <w:r w:rsidRPr="00FC6828">
        <w:rPr>
          <w:rFonts w:ascii="Trebuchet MS" w:hAnsi="Trebuchet MS"/>
          <w:sz w:val="16"/>
          <w:szCs w:val="16"/>
        </w:rPr>
        <w:t xml:space="preserve"> </w:t>
      </w:r>
      <w:proofErr w:type="spellStart"/>
      <w:r w:rsidRPr="00FC6828">
        <w:rPr>
          <w:rFonts w:ascii="Trebuchet MS" w:hAnsi="Trebuchet MS"/>
          <w:sz w:val="16"/>
          <w:szCs w:val="16"/>
        </w:rPr>
        <w:t>Convenția</w:t>
      </w:r>
      <w:proofErr w:type="spellEnd"/>
      <w:r w:rsidRPr="00FC6828">
        <w:rPr>
          <w:rFonts w:ascii="Trebuchet MS" w:hAnsi="Trebuchet MS"/>
          <w:sz w:val="16"/>
          <w:szCs w:val="16"/>
        </w:rPr>
        <w:t xml:space="preserve"> a </w:t>
      </w:r>
      <w:proofErr w:type="spellStart"/>
      <w:r w:rsidRPr="00FC6828">
        <w:rPr>
          <w:rFonts w:ascii="Trebuchet MS" w:hAnsi="Trebuchet MS"/>
          <w:sz w:val="16"/>
          <w:szCs w:val="16"/>
        </w:rPr>
        <w:t>intrat</w:t>
      </w:r>
      <w:proofErr w:type="spellEnd"/>
      <w:r w:rsidRPr="00FC6828">
        <w:rPr>
          <w:rFonts w:ascii="Trebuchet MS" w:hAnsi="Trebuchet MS"/>
          <w:sz w:val="16"/>
          <w:szCs w:val="16"/>
        </w:rPr>
        <w:t xml:space="preserve"> </w:t>
      </w:r>
      <w:proofErr w:type="spellStart"/>
      <w:r w:rsidRPr="00FC6828">
        <w:rPr>
          <w:rFonts w:ascii="Trebuchet MS" w:hAnsi="Trebuchet MS"/>
          <w:sz w:val="16"/>
          <w:szCs w:val="16"/>
        </w:rPr>
        <w:t>în</w:t>
      </w:r>
      <w:proofErr w:type="spellEnd"/>
      <w:r w:rsidRPr="00FC6828">
        <w:rPr>
          <w:rFonts w:ascii="Trebuchet MS" w:hAnsi="Trebuchet MS"/>
          <w:sz w:val="16"/>
          <w:szCs w:val="16"/>
        </w:rPr>
        <w:t xml:space="preserve"> </w:t>
      </w:r>
      <w:proofErr w:type="spellStart"/>
      <w:r w:rsidRPr="00FC6828">
        <w:rPr>
          <w:rFonts w:ascii="Trebuchet MS" w:hAnsi="Trebuchet MS"/>
          <w:sz w:val="16"/>
          <w:szCs w:val="16"/>
        </w:rPr>
        <w:t>vigoare</w:t>
      </w:r>
      <w:proofErr w:type="spellEnd"/>
      <w:r w:rsidRPr="00FC6828">
        <w:rPr>
          <w:rFonts w:ascii="Trebuchet MS" w:hAnsi="Trebuchet MS"/>
          <w:sz w:val="16"/>
          <w:szCs w:val="16"/>
        </w:rPr>
        <w:t xml:space="preserve"> </w:t>
      </w:r>
      <w:proofErr w:type="spellStart"/>
      <w:r w:rsidRPr="00FC6828">
        <w:rPr>
          <w:rFonts w:ascii="Trebuchet MS" w:hAnsi="Trebuchet MS"/>
          <w:sz w:val="16"/>
          <w:szCs w:val="16"/>
        </w:rPr>
        <w:t>pentru</w:t>
      </w:r>
      <w:proofErr w:type="spellEnd"/>
      <w:r w:rsidRPr="00FC6828">
        <w:rPr>
          <w:rFonts w:ascii="Trebuchet MS" w:hAnsi="Trebuchet MS"/>
          <w:sz w:val="16"/>
          <w:szCs w:val="16"/>
        </w:rPr>
        <w:t xml:space="preserve"> UE la 22 </w:t>
      </w:r>
      <w:proofErr w:type="spellStart"/>
      <w:r w:rsidRPr="00FC6828">
        <w:rPr>
          <w:rFonts w:ascii="Trebuchet MS" w:hAnsi="Trebuchet MS"/>
          <w:sz w:val="16"/>
          <w:szCs w:val="16"/>
        </w:rPr>
        <w:t>ianuarie</w:t>
      </w:r>
      <w:proofErr w:type="spellEnd"/>
      <w:r w:rsidRPr="00FC6828">
        <w:rPr>
          <w:rFonts w:ascii="Trebuchet MS" w:hAnsi="Trebuchet MS"/>
          <w:sz w:val="16"/>
          <w:szCs w:val="16"/>
        </w:rPr>
        <w:t xml:space="preserve"> 2011</w:t>
      </w:r>
    </w:p>
  </w:footnote>
  <w:footnote w:id="2">
    <w:p w:rsidR="00F31215" w:rsidRPr="00FC6828" w:rsidRDefault="00F31215" w:rsidP="00F31215">
      <w:pPr>
        <w:pStyle w:val="f1"/>
        <w:rPr>
          <w:rFonts w:ascii="Trebuchet MS" w:hAnsi="Trebuchet MS"/>
          <w:sz w:val="16"/>
          <w:szCs w:val="16"/>
        </w:rPr>
      </w:pPr>
      <w:r w:rsidRPr="00FC6828">
        <w:rPr>
          <w:rStyle w:val="FootnoteReference"/>
          <w:rFonts w:ascii="Trebuchet MS" w:hAnsi="Trebuchet MS"/>
          <w:sz w:val="16"/>
          <w:szCs w:val="16"/>
        </w:rPr>
        <w:footnoteRef/>
      </w:r>
      <w:r w:rsidRPr="00FC6828">
        <w:rPr>
          <w:rFonts w:ascii="Trebuchet MS" w:hAnsi="Trebuchet MS"/>
          <w:sz w:val="16"/>
          <w:szCs w:val="16"/>
        </w:rPr>
        <w:t xml:space="preserve"> Council of the European Union</w:t>
      </w:r>
      <w:r>
        <w:rPr>
          <w:rFonts w:ascii="Trebuchet MS" w:hAnsi="Trebuchet MS"/>
          <w:sz w:val="16"/>
          <w:szCs w:val="16"/>
        </w:rPr>
        <w:t xml:space="preserve"> - </w:t>
      </w:r>
      <w:r w:rsidRPr="00F4603C">
        <w:rPr>
          <w:rFonts w:ascii="Trebuchet MS" w:hAnsi="Trebuchet MS"/>
          <w:sz w:val="16"/>
          <w:szCs w:val="16"/>
        </w:rPr>
        <w:t>Revised EU-level Framework Required by Article 33.2 of the UN Convention on the Rights of Persons with Disabilities</w:t>
      </w:r>
      <w:r>
        <w:rPr>
          <w:rFonts w:ascii="Trebuchet MS" w:hAnsi="Trebuchet MS"/>
          <w:sz w:val="16"/>
          <w:szCs w:val="16"/>
        </w:rPr>
        <w:t xml:space="preserve">; link: </w:t>
      </w:r>
      <w:hyperlink r:id="rId1" w:history="1">
        <w:r w:rsidRPr="00742AD0">
          <w:rPr>
            <w:rStyle w:val="Hyperlink1"/>
            <w:rFonts w:ascii="Trebuchet MS" w:hAnsi="Trebuchet MS"/>
            <w:sz w:val="16"/>
            <w:szCs w:val="16"/>
          </w:rPr>
          <w:t>http://data.consilium.europa.eu/doc/document/ST-6170-2017-INIT/en/pdf</w:t>
        </w:r>
      </w:hyperlink>
    </w:p>
  </w:footnote>
  <w:footnote w:id="3">
    <w:p w:rsidR="00F31215" w:rsidRPr="002038C5" w:rsidRDefault="00F31215" w:rsidP="00F31215">
      <w:pPr>
        <w:pStyle w:val="f1"/>
        <w:rPr>
          <w:rFonts w:ascii="Trebuchet MS" w:hAnsi="Trebuchet MS"/>
          <w:sz w:val="16"/>
          <w:szCs w:val="16"/>
        </w:rPr>
      </w:pPr>
      <w:r w:rsidRPr="002038C5">
        <w:rPr>
          <w:rStyle w:val="FootnoteReference"/>
          <w:rFonts w:ascii="Trebuchet MS" w:hAnsi="Trebuchet MS"/>
          <w:sz w:val="16"/>
          <w:szCs w:val="16"/>
        </w:rPr>
        <w:footnoteRef/>
      </w:r>
      <w:r w:rsidRPr="002038C5">
        <w:rPr>
          <w:rFonts w:ascii="Trebuchet MS" w:hAnsi="Trebuchet MS"/>
          <w:sz w:val="16"/>
          <w:szCs w:val="16"/>
        </w:rPr>
        <w:t xml:space="preserve"> European Union Agency for Fundamental Rights</w:t>
      </w:r>
      <w:r>
        <w:rPr>
          <w:rFonts w:ascii="Trebuchet MS" w:hAnsi="Trebuchet MS"/>
          <w:sz w:val="16"/>
          <w:szCs w:val="16"/>
        </w:rPr>
        <w:t xml:space="preserve"> (FRA)</w:t>
      </w:r>
    </w:p>
  </w:footnote>
  <w:footnote w:id="4">
    <w:p w:rsidR="00F31215" w:rsidRPr="002038C5" w:rsidRDefault="00F31215" w:rsidP="00F31215">
      <w:pPr>
        <w:pStyle w:val="f1"/>
        <w:rPr>
          <w:rFonts w:ascii="Trebuchet MS" w:hAnsi="Trebuchet MS"/>
          <w:b/>
          <w:sz w:val="16"/>
          <w:szCs w:val="16"/>
        </w:rPr>
      </w:pPr>
      <w:r w:rsidRPr="002038C5">
        <w:rPr>
          <w:rStyle w:val="FootnoteReference"/>
          <w:rFonts w:ascii="Trebuchet MS" w:hAnsi="Trebuchet MS"/>
          <w:b/>
          <w:sz w:val="16"/>
          <w:szCs w:val="16"/>
        </w:rPr>
        <w:footnoteRef/>
      </w:r>
      <w:r w:rsidRPr="002038C5">
        <w:rPr>
          <w:rFonts w:ascii="Trebuchet MS" w:hAnsi="Trebuchet MS"/>
          <w:b/>
          <w:sz w:val="16"/>
          <w:szCs w:val="16"/>
        </w:rPr>
        <w:t xml:space="preserve"> </w:t>
      </w:r>
      <w:r w:rsidRPr="002038C5">
        <w:rPr>
          <w:rStyle w:val="Strong"/>
          <w:rFonts w:ascii="Trebuchet MS" w:hAnsi="Trebuchet MS"/>
          <w:b w:val="0"/>
          <w:sz w:val="16"/>
          <w:szCs w:val="16"/>
        </w:rPr>
        <w:t>The European Disability Forum</w:t>
      </w:r>
    </w:p>
  </w:footnote>
  <w:footnote w:id="5">
    <w:p w:rsidR="00F31215" w:rsidRPr="00114E9A" w:rsidRDefault="00F31215" w:rsidP="00F31215">
      <w:pPr>
        <w:pStyle w:val="f1"/>
        <w:rPr>
          <w:rFonts w:ascii="Trebuchet MS" w:hAnsi="Trebuchet MS"/>
          <w:sz w:val="16"/>
          <w:szCs w:val="16"/>
        </w:rPr>
      </w:pPr>
      <w:r>
        <w:rPr>
          <w:rStyle w:val="FootnoteReference"/>
        </w:rPr>
        <w:footnoteRef/>
      </w:r>
      <w:r>
        <w:t xml:space="preserve"> </w:t>
      </w:r>
      <w:proofErr w:type="spellStart"/>
      <w:r>
        <w:t>Sursa</w:t>
      </w:r>
      <w:proofErr w:type="spellEnd"/>
      <w:r>
        <w:t xml:space="preserve">: </w:t>
      </w:r>
      <w:r>
        <w:rPr>
          <w:rFonts w:ascii="Trebuchet MS" w:hAnsi="Trebuchet MS"/>
          <w:sz w:val="16"/>
          <w:szCs w:val="16"/>
        </w:rPr>
        <w:t xml:space="preserve">Material </w:t>
      </w:r>
      <w:proofErr w:type="spellStart"/>
      <w:r>
        <w:rPr>
          <w:rFonts w:ascii="Trebuchet MS" w:hAnsi="Trebuchet MS"/>
          <w:sz w:val="16"/>
          <w:szCs w:val="16"/>
        </w:rPr>
        <w:t>prelucrat</w:t>
      </w:r>
      <w:proofErr w:type="spellEnd"/>
      <w:r>
        <w:rPr>
          <w:rFonts w:ascii="Trebuchet MS" w:hAnsi="Trebuchet MS"/>
          <w:sz w:val="16"/>
          <w:szCs w:val="16"/>
        </w:rPr>
        <w:t xml:space="preserve"> </w:t>
      </w:r>
      <w:proofErr w:type="spellStart"/>
      <w:r>
        <w:rPr>
          <w:rFonts w:ascii="Trebuchet MS" w:hAnsi="Trebuchet MS"/>
          <w:sz w:val="16"/>
          <w:szCs w:val="16"/>
        </w:rPr>
        <w:t>prin</w:t>
      </w:r>
      <w:proofErr w:type="spellEnd"/>
      <w:r>
        <w:rPr>
          <w:rFonts w:ascii="Trebuchet MS" w:hAnsi="Trebuchet MS"/>
          <w:sz w:val="16"/>
          <w:szCs w:val="16"/>
        </w:rPr>
        <w:t xml:space="preserve"> </w:t>
      </w:r>
      <w:proofErr w:type="spellStart"/>
      <w:r>
        <w:rPr>
          <w:rFonts w:ascii="Trebuchet MS" w:hAnsi="Trebuchet MS"/>
          <w:sz w:val="16"/>
          <w:szCs w:val="16"/>
        </w:rPr>
        <w:t>utilizarea</w:t>
      </w:r>
      <w:proofErr w:type="spellEnd"/>
      <w:r>
        <w:rPr>
          <w:rFonts w:ascii="Trebuchet MS" w:hAnsi="Trebuchet MS"/>
          <w:sz w:val="16"/>
          <w:szCs w:val="16"/>
        </w:rPr>
        <w:t xml:space="preserve"> </w:t>
      </w:r>
      <w:proofErr w:type="spellStart"/>
      <w:r>
        <w:rPr>
          <w:rFonts w:ascii="Trebuchet MS" w:hAnsi="Trebuchet MS"/>
          <w:sz w:val="16"/>
          <w:szCs w:val="16"/>
        </w:rPr>
        <w:t>informațiilor</w:t>
      </w:r>
      <w:proofErr w:type="spellEnd"/>
      <w:r>
        <w:rPr>
          <w:rFonts w:ascii="Trebuchet MS" w:hAnsi="Trebuchet MS"/>
          <w:sz w:val="16"/>
          <w:szCs w:val="16"/>
        </w:rPr>
        <w:t xml:space="preserve">: </w:t>
      </w:r>
      <w:hyperlink r:id="rId2" w:history="1">
        <w:r w:rsidRPr="00742AD0">
          <w:rPr>
            <w:rStyle w:val="Hyperlink1"/>
            <w:rFonts w:ascii="Trebuchet MS" w:hAnsi="Trebuchet MS"/>
            <w:sz w:val="16"/>
            <w:szCs w:val="16"/>
          </w:rPr>
          <w:t>https://fra.europa.eu/en/theme/people-disabilities/eu-crpd-framework/monitoring</w:t>
        </w:r>
      </w:hyperlink>
      <w:r>
        <w:rPr>
          <w:rFonts w:ascii="Trebuchet MS" w:hAnsi="Trebuchet MS"/>
          <w:sz w:val="16"/>
          <w:szCs w:val="16"/>
        </w:rPr>
        <w:t xml:space="preserve"> </w:t>
      </w:r>
    </w:p>
  </w:footnote>
  <w:footnote w:id="6">
    <w:p w:rsidR="00F31215" w:rsidRPr="00F4603C" w:rsidRDefault="00F31215" w:rsidP="00F31215">
      <w:pPr>
        <w:pStyle w:val="f1"/>
        <w:rPr>
          <w:rFonts w:ascii="Trebuchet MS" w:hAnsi="Trebuchet MS"/>
          <w:sz w:val="16"/>
          <w:szCs w:val="16"/>
        </w:rPr>
      </w:pPr>
      <w:r w:rsidRPr="00F4603C">
        <w:rPr>
          <w:rStyle w:val="FootnoteReference"/>
          <w:rFonts w:ascii="Trebuchet MS" w:hAnsi="Trebuchet MS"/>
          <w:sz w:val="16"/>
          <w:szCs w:val="16"/>
        </w:rPr>
        <w:footnoteRef/>
      </w:r>
      <w:r w:rsidRPr="00F4603C">
        <w:rPr>
          <w:rFonts w:ascii="Trebuchet MS" w:hAnsi="Trebuchet MS"/>
          <w:sz w:val="16"/>
          <w:szCs w:val="16"/>
        </w:rPr>
        <w:t xml:space="preserve"> </w:t>
      </w:r>
      <w:r w:rsidRPr="00FC6828">
        <w:rPr>
          <w:rFonts w:ascii="Trebuchet MS" w:hAnsi="Trebuchet MS"/>
          <w:sz w:val="16"/>
          <w:szCs w:val="16"/>
        </w:rPr>
        <w:t>Council of the European Union</w:t>
      </w:r>
      <w:r>
        <w:rPr>
          <w:rFonts w:ascii="Trebuchet MS" w:hAnsi="Trebuchet MS"/>
          <w:sz w:val="16"/>
          <w:szCs w:val="16"/>
        </w:rPr>
        <w:t xml:space="preserve"> - </w:t>
      </w:r>
      <w:r w:rsidRPr="00F4603C">
        <w:rPr>
          <w:rFonts w:ascii="Trebuchet MS" w:hAnsi="Trebuchet MS"/>
          <w:sz w:val="16"/>
          <w:szCs w:val="16"/>
        </w:rPr>
        <w:t>Revised EU-level Framework Required by Article 33.2 of the UN Convention on the Rights of Persons with Disabilities</w:t>
      </w:r>
      <w:r>
        <w:rPr>
          <w:rFonts w:ascii="Trebuchet MS" w:hAnsi="Trebuchet MS"/>
          <w:sz w:val="16"/>
          <w:szCs w:val="16"/>
        </w:rPr>
        <w:t xml:space="preserve">; link: </w:t>
      </w:r>
      <w:hyperlink r:id="rId3" w:history="1">
        <w:r w:rsidRPr="00742AD0">
          <w:rPr>
            <w:rStyle w:val="Hyperlink1"/>
            <w:rFonts w:ascii="Trebuchet MS" w:hAnsi="Trebuchet MS"/>
            <w:sz w:val="16"/>
            <w:szCs w:val="16"/>
          </w:rPr>
          <w:t>http://data.consilium.europa.eu/doc/document/ST-6170-2017-INIT/en/pdf</w:t>
        </w:r>
      </w:hyperlink>
      <w:r>
        <w:rPr>
          <w:rFonts w:ascii="Trebuchet MS" w:hAnsi="Trebuchet MS"/>
          <w:sz w:val="16"/>
          <w:szCs w:val="16"/>
        </w:rPr>
        <w:t xml:space="preserve"> </w:t>
      </w:r>
    </w:p>
  </w:footnote>
  <w:footnote w:id="7">
    <w:p w:rsidR="00F31215" w:rsidRPr="00100B0F" w:rsidRDefault="00F31215" w:rsidP="00F31215">
      <w:pPr>
        <w:pStyle w:val="f1"/>
        <w:rPr>
          <w:rFonts w:ascii="Trebuchet MS" w:hAnsi="Trebuchet MS"/>
          <w:sz w:val="16"/>
          <w:szCs w:val="16"/>
        </w:rPr>
      </w:pPr>
      <w:r w:rsidRPr="00100B0F">
        <w:rPr>
          <w:rStyle w:val="FootnoteReference"/>
          <w:rFonts w:ascii="Trebuchet MS" w:hAnsi="Trebuchet MS"/>
          <w:sz w:val="16"/>
          <w:szCs w:val="16"/>
        </w:rPr>
        <w:footnoteRef/>
      </w:r>
      <w:r w:rsidRPr="00100B0F">
        <w:rPr>
          <w:rFonts w:ascii="Trebuchet MS" w:hAnsi="Trebuchet MS"/>
          <w:sz w:val="16"/>
          <w:szCs w:val="16"/>
        </w:rPr>
        <w:t xml:space="preserve"> </w:t>
      </w:r>
      <w:hyperlink r:id="rId4" w:history="1">
        <w:r w:rsidRPr="00100B0F">
          <w:rPr>
            <w:rStyle w:val="Hyperlink1"/>
            <w:rFonts w:ascii="Trebuchet MS" w:hAnsi="Trebuchet MS"/>
            <w:sz w:val="16"/>
            <w:szCs w:val="16"/>
          </w:rPr>
          <w:t>https://fra.europa.eu/en/theme/people-disabilities/eu-crpd-framework</w:t>
        </w:r>
      </w:hyperlink>
      <w:r w:rsidRPr="00100B0F">
        <w:rPr>
          <w:rFonts w:ascii="Trebuchet MS" w:hAnsi="Trebuchet MS"/>
          <w:sz w:val="16"/>
          <w:szCs w:val="16"/>
        </w:rPr>
        <w:t xml:space="preserve"> </w:t>
      </w:r>
    </w:p>
  </w:footnote>
  <w:footnote w:id="8">
    <w:p w:rsidR="00F31215" w:rsidRPr="00710E32" w:rsidRDefault="00F31215" w:rsidP="00F31215">
      <w:pPr>
        <w:pStyle w:val="f1"/>
        <w:rPr>
          <w:rFonts w:ascii="Trebuchet MS" w:hAnsi="Trebuchet MS"/>
          <w:sz w:val="16"/>
          <w:szCs w:val="16"/>
        </w:rPr>
      </w:pPr>
      <w:r w:rsidRPr="00710E32">
        <w:rPr>
          <w:rStyle w:val="FootnoteReference"/>
          <w:rFonts w:ascii="Trebuchet MS" w:hAnsi="Trebuchet MS"/>
          <w:sz w:val="16"/>
          <w:szCs w:val="16"/>
        </w:rPr>
        <w:footnoteRef/>
      </w:r>
      <w:r w:rsidRPr="00710E32">
        <w:rPr>
          <w:rFonts w:ascii="Trebuchet MS" w:hAnsi="Trebuchet MS"/>
          <w:sz w:val="16"/>
          <w:szCs w:val="16"/>
        </w:rPr>
        <w:t xml:space="preserve"> The Working Group on the UN Convention on the Rights of Persons with Disabilities of the European Network of National Human Rights Institutions</w:t>
      </w:r>
    </w:p>
  </w:footnote>
  <w:footnote w:id="9">
    <w:p w:rsidR="00F31215" w:rsidRPr="00710E32" w:rsidRDefault="00F31215" w:rsidP="00F31215">
      <w:pPr>
        <w:pStyle w:val="f1"/>
        <w:rPr>
          <w:rFonts w:ascii="Trebuchet MS" w:hAnsi="Trebuchet MS"/>
          <w:sz w:val="16"/>
          <w:szCs w:val="16"/>
        </w:rPr>
      </w:pPr>
      <w:r w:rsidRPr="00710E32">
        <w:rPr>
          <w:rStyle w:val="FootnoteReference"/>
          <w:rFonts w:ascii="Trebuchet MS" w:hAnsi="Trebuchet MS"/>
          <w:sz w:val="16"/>
          <w:szCs w:val="16"/>
        </w:rPr>
        <w:footnoteRef/>
      </w:r>
      <w:r w:rsidRPr="00710E32">
        <w:rPr>
          <w:rFonts w:ascii="Trebuchet MS" w:hAnsi="Trebuchet MS"/>
          <w:sz w:val="16"/>
          <w:szCs w:val="16"/>
        </w:rPr>
        <w:t xml:space="preserve"> the European Network of Equality Bodies</w:t>
      </w:r>
      <w:r>
        <w:rPr>
          <w:rFonts w:ascii="Trebuchet MS" w:hAnsi="Trebuchet MS"/>
          <w:sz w:val="16"/>
          <w:szCs w:val="16"/>
        </w:rPr>
        <w:t xml:space="preserve"> </w:t>
      </w:r>
      <w:r w:rsidRPr="00710E32">
        <w:rPr>
          <w:rFonts w:ascii="Trebuchet MS" w:hAnsi="Trebuchet MS"/>
          <w:sz w:val="16"/>
          <w:szCs w:val="16"/>
        </w:rPr>
        <w:t xml:space="preserve"> </w:t>
      </w:r>
      <w:r>
        <w:rPr>
          <w:rFonts w:ascii="Trebuchet MS" w:hAnsi="Trebuchet MS"/>
          <w:sz w:val="16"/>
          <w:szCs w:val="16"/>
        </w:rPr>
        <w:t xml:space="preserve"> </w:t>
      </w:r>
    </w:p>
  </w:footnote>
  <w:footnote w:id="10">
    <w:p w:rsidR="00F31215" w:rsidRPr="00710E32" w:rsidRDefault="00F31215" w:rsidP="00F31215">
      <w:pPr>
        <w:pStyle w:val="f1"/>
        <w:rPr>
          <w:rFonts w:ascii="Trebuchet MS" w:hAnsi="Trebuchet MS"/>
          <w:sz w:val="16"/>
          <w:szCs w:val="16"/>
        </w:rPr>
      </w:pPr>
      <w:r w:rsidRPr="00710E32">
        <w:rPr>
          <w:rStyle w:val="FootnoteReference"/>
          <w:rFonts w:ascii="Trebuchet MS" w:hAnsi="Trebuchet MS"/>
          <w:sz w:val="16"/>
          <w:szCs w:val="16"/>
        </w:rPr>
        <w:footnoteRef/>
      </w:r>
      <w:r w:rsidRPr="00710E32">
        <w:rPr>
          <w:rFonts w:ascii="Trebuchet MS" w:hAnsi="Trebuchet MS"/>
          <w:sz w:val="16"/>
          <w:szCs w:val="16"/>
        </w:rPr>
        <w:t xml:space="preserve"> The European Network of Ombudsmen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11.25pt;height:11.25pt" o:bullet="t">
        <v:imagedata r:id="rId1" o:title="msoA9C3"/>
      </v:shape>
    </w:pict>
  </w:numPicBullet>
  <w:abstractNum w:abstractNumId="0" w15:restartNumberingAfterBreak="0">
    <w:nsid w:val="0C8A2E0E"/>
    <w:multiLevelType w:val="hybridMultilevel"/>
    <w:tmpl w:val="FB7445CE"/>
    <w:lvl w:ilvl="0" w:tplc="0418000D">
      <w:start w:val="1"/>
      <w:numFmt w:val="bullet"/>
      <w:lvlText w:val=""/>
      <w:lvlJc w:val="left"/>
      <w:pPr>
        <w:ind w:left="720" w:hanging="360"/>
      </w:pPr>
      <w:rPr>
        <w:rFonts w:ascii="Wingdings" w:hAnsi="Wingdings" w:hint="default"/>
      </w:rPr>
    </w:lvl>
    <w:lvl w:ilvl="1" w:tplc="523893DE">
      <w:start w:val="2"/>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5EA79A5"/>
    <w:multiLevelType w:val="hybridMultilevel"/>
    <w:tmpl w:val="463A79D2"/>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39E7AE4"/>
    <w:multiLevelType w:val="hybridMultilevel"/>
    <w:tmpl w:val="215AC8B4"/>
    <w:lvl w:ilvl="0" w:tplc="04180007">
      <w:start w:val="1"/>
      <w:numFmt w:val="bullet"/>
      <w:lvlText w:val=""/>
      <w:lvlPicBulletId w:val="0"/>
      <w:lvlJc w:val="left"/>
      <w:pPr>
        <w:ind w:left="720" w:hanging="360"/>
      </w:pPr>
      <w:rPr>
        <w:rFonts w:ascii="Symbol" w:hAnsi="Symbol" w:hint="default"/>
      </w:rPr>
    </w:lvl>
    <w:lvl w:ilvl="1" w:tplc="1F3C8C10">
      <w:numFmt w:val="bullet"/>
      <w:lvlText w:val="-"/>
      <w:lvlJc w:val="left"/>
      <w:pPr>
        <w:ind w:left="1440" w:hanging="360"/>
      </w:pPr>
      <w:rPr>
        <w:rFonts w:ascii="Trebuchet MS" w:eastAsiaTheme="minorHAnsi" w:hAnsi="Trebuchet MS" w:cstheme="minorBidi" w:hint="default"/>
        <w:i w:val="0"/>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BBA1806"/>
    <w:multiLevelType w:val="hybridMultilevel"/>
    <w:tmpl w:val="FD9CFBF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72945FC"/>
    <w:multiLevelType w:val="hybridMultilevel"/>
    <w:tmpl w:val="527828BA"/>
    <w:lvl w:ilvl="0" w:tplc="0418000D">
      <w:start w:val="1"/>
      <w:numFmt w:val="bullet"/>
      <w:lvlText w:val=""/>
      <w:lvlJc w:val="left"/>
      <w:pPr>
        <w:ind w:left="720" w:hanging="360"/>
      </w:pPr>
      <w:rPr>
        <w:rFonts w:ascii="Wingdings" w:hAnsi="Wingdings" w:hint="default"/>
      </w:rPr>
    </w:lvl>
    <w:lvl w:ilvl="1" w:tplc="B75CD296">
      <w:start w:val="2"/>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8454831"/>
    <w:multiLevelType w:val="hybridMultilevel"/>
    <w:tmpl w:val="F8D80F18"/>
    <w:lvl w:ilvl="0" w:tplc="04180007">
      <w:start w:val="1"/>
      <w:numFmt w:val="bullet"/>
      <w:lvlText w:val=""/>
      <w:lvlPicBulletId w:val="0"/>
      <w:lvlJc w:val="left"/>
      <w:pPr>
        <w:ind w:left="790" w:hanging="360"/>
      </w:pPr>
      <w:rPr>
        <w:rFonts w:ascii="Symbol" w:hAnsi="Symbol" w:hint="default"/>
      </w:rPr>
    </w:lvl>
    <w:lvl w:ilvl="1" w:tplc="04180003" w:tentative="1">
      <w:start w:val="1"/>
      <w:numFmt w:val="bullet"/>
      <w:lvlText w:val="o"/>
      <w:lvlJc w:val="left"/>
      <w:pPr>
        <w:ind w:left="1510" w:hanging="360"/>
      </w:pPr>
      <w:rPr>
        <w:rFonts w:ascii="Courier New" w:hAnsi="Courier New" w:cs="Courier New" w:hint="default"/>
      </w:rPr>
    </w:lvl>
    <w:lvl w:ilvl="2" w:tplc="04180005" w:tentative="1">
      <w:start w:val="1"/>
      <w:numFmt w:val="bullet"/>
      <w:lvlText w:val=""/>
      <w:lvlJc w:val="left"/>
      <w:pPr>
        <w:ind w:left="2230" w:hanging="360"/>
      </w:pPr>
      <w:rPr>
        <w:rFonts w:ascii="Wingdings" w:hAnsi="Wingdings" w:hint="default"/>
      </w:rPr>
    </w:lvl>
    <w:lvl w:ilvl="3" w:tplc="04180001" w:tentative="1">
      <w:start w:val="1"/>
      <w:numFmt w:val="bullet"/>
      <w:lvlText w:val=""/>
      <w:lvlJc w:val="left"/>
      <w:pPr>
        <w:ind w:left="2950" w:hanging="360"/>
      </w:pPr>
      <w:rPr>
        <w:rFonts w:ascii="Symbol" w:hAnsi="Symbol" w:hint="default"/>
      </w:rPr>
    </w:lvl>
    <w:lvl w:ilvl="4" w:tplc="04180003" w:tentative="1">
      <w:start w:val="1"/>
      <w:numFmt w:val="bullet"/>
      <w:lvlText w:val="o"/>
      <w:lvlJc w:val="left"/>
      <w:pPr>
        <w:ind w:left="3670" w:hanging="360"/>
      </w:pPr>
      <w:rPr>
        <w:rFonts w:ascii="Courier New" w:hAnsi="Courier New" w:cs="Courier New" w:hint="default"/>
      </w:rPr>
    </w:lvl>
    <w:lvl w:ilvl="5" w:tplc="04180005" w:tentative="1">
      <w:start w:val="1"/>
      <w:numFmt w:val="bullet"/>
      <w:lvlText w:val=""/>
      <w:lvlJc w:val="left"/>
      <w:pPr>
        <w:ind w:left="4390" w:hanging="360"/>
      </w:pPr>
      <w:rPr>
        <w:rFonts w:ascii="Wingdings" w:hAnsi="Wingdings" w:hint="default"/>
      </w:rPr>
    </w:lvl>
    <w:lvl w:ilvl="6" w:tplc="04180001" w:tentative="1">
      <w:start w:val="1"/>
      <w:numFmt w:val="bullet"/>
      <w:lvlText w:val=""/>
      <w:lvlJc w:val="left"/>
      <w:pPr>
        <w:ind w:left="5110" w:hanging="360"/>
      </w:pPr>
      <w:rPr>
        <w:rFonts w:ascii="Symbol" w:hAnsi="Symbol" w:hint="default"/>
      </w:rPr>
    </w:lvl>
    <w:lvl w:ilvl="7" w:tplc="04180003" w:tentative="1">
      <w:start w:val="1"/>
      <w:numFmt w:val="bullet"/>
      <w:lvlText w:val="o"/>
      <w:lvlJc w:val="left"/>
      <w:pPr>
        <w:ind w:left="5830" w:hanging="360"/>
      </w:pPr>
      <w:rPr>
        <w:rFonts w:ascii="Courier New" w:hAnsi="Courier New" w:cs="Courier New" w:hint="default"/>
      </w:rPr>
    </w:lvl>
    <w:lvl w:ilvl="8" w:tplc="04180005" w:tentative="1">
      <w:start w:val="1"/>
      <w:numFmt w:val="bullet"/>
      <w:lvlText w:val=""/>
      <w:lvlJc w:val="left"/>
      <w:pPr>
        <w:ind w:left="6550" w:hanging="360"/>
      </w:pPr>
      <w:rPr>
        <w:rFonts w:ascii="Wingdings" w:hAnsi="Wingdings" w:hint="default"/>
      </w:rPr>
    </w:lvl>
  </w:abstractNum>
  <w:abstractNum w:abstractNumId="6" w15:restartNumberingAfterBreak="0">
    <w:nsid w:val="731E24FB"/>
    <w:multiLevelType w:val="hybridMultilevel"/>
    <w:tmpl w:val="DC80D8A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215"/>
    <w:rsid w:val="003A3B75"/>
    <w:rsid w:val="003B01C9"/>
    <w:rsid w:val="004B7B66"/>
    <w:rsid w:val="005E7C65"/>
    <w:rsid w:val="00831C56"/>
    <w:rsid w:val="00972151"/>
    <w:rsid w:val="00977087"/>
    <w:rsid w:val="00B80177"/>
    <w:rsid w:val="00F31215"/>
    <w:rsid w:val="00FC7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77140-13B3-4A5C-BC13-8DB3A48B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31215"/>
    <w:rPr>
      <w:color w:val="0563C1"/>
      <w:u w:val="single"/>
    </w:rPr>
  </w:style>
  <w:style w:type="paragraph" w:customStyle="1" w:styleId="f1">
    <w:name w:val="f1"/>
    <w:basedOn w:val="Normal"/>
    <w:next w:val="FootnoteText"/>
    <w:link w:val="FootnoteTextChar"/>
    <w:uiPriority w:val="99"/>
    <w:unhideWhenUsed/>
    <w:rsid w:val="00F31215"/>
    <w:pPr>
      <w:spacing w:after="0" w:line="240" w:lineRule="auto"/>
      <w:jc w:val="both"/>
    </w:pPr>
    <w:rPr>
      <w:sz w:val="20"/>
      <w:szCs w:val="20"/>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f Char"/>
    <w:basedOn w:val="DefaultParagraphFont"/>
    <w:link w:val="f1"/>
    <w:uiPriority w:val="99"/>
    <w:rsid w:val="00F31215"/>
    <w:rPr>
      <w:sz w:val="20"/>
      <w:szCs w:val="20"/>
    </w:rPr>
  </w:style>
  <w:style w:type="character" w:styleId="FootnoteReference">
    <w:name w:val="footnote reference"/>
    <w:aliases w:val="ftref,Footnotes refss,Fussnota,Footnote symbol,Footnote reference number,Times 10 Point,Exposant 3 Point,EN Footnote Reference,note TESI,Footnote Reference Superscript, Zchn Zchn,Footnote number,Footnote Reference Number, BVI fnr,o,Re"/>
    <w:basedOn w:val="DefaultParagraphFont"/>
    <w:uiPriority w:val="99"/>
    <w:unhideWhenUsed/>
    <w:rsid w:val="00F31215"/>
    <w:rPr>
      <w:vertAlign w:val="superscript"/>
    </w:rPr>
  </w:style>
  <w:style w:type="character" w:styleId="Strong">
    <w:name w:val="Strong"/>
    <w:basedOn w:val="DefaultParagraphFont"/>
    <w:uiPriority w:val="22"/>
    <w:qFormat/>
    <w:rsid w:val="00F31215"/>
    <w:rPr>
      <w:b/>
      <w:bCs/>
    </w:rPr>
  </w:style>
  <w:style w:type="character" w:styleId="Hyperlink">
    <w:name w:val="Hyperlink"/>
    <w:basedOn w:val="DefaultParagraphFont"/>
    <w:uiPriority w:val="99"/>
    <w:semiHidden/>
    <w:unhideWhenUsed/>
    <w:rsid w:val="00F31215"/>
    <w:rPr>
      <w:color w:val="0563C1" w:themeColor="hyperlink"/>
      <w:u w:val="single"/>
    </w:rPr>
  </w:style>
  <w:style w:type="paragraph" w:styleId="FootnoteText">
    <w:name w:val="footnote text"/>
    <w:basedOn w:val="Normal"/>
    <w:link w:val="FootnoteTextChar1"/>
    <w:uiPriority w:val="99"/>
    <w:semiHidden/>
    <w:unhideWhenUsed/>
    <w:rsid w:val="00F31215"/>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F31215"/>
    <w:rPr>
      <w:sz w:val="20"/>
      <w:szCs w:val="20"/>
    </w:rPr>
  </w:style>
  <w:style w:type="paragraph" w:styleId="Header">
    <w:name w:val="header"/>
    <w:basedOn w:val="Normal"/>
    <w:link w:val="HeaderChar"/>
    <w:uiPriority w:val="99"/>
    <w:unhideWhenUsed/>
    <w:rsid w:val="00F312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215"/>
  </w:style>
  <w:style w:type="paragraph" w:styleId="Footer">
    <w:name w:val="footer"/>
    <w:basedOn w:val="Normal"/>
    <w:link w:val="FooterChar"/>
    <w:uiPriority w:val="99"/>
    <w:unhideWhenUsed/>
    <w:rsid w:val="00F312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2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consilium.europa.eu/doc/document/ST-6170-2017-INIT/en/pdf" TargetMode="External"/><Relationship Id="rId2" Type="http://schemas.openxmlformats.org/officeDocument/2006/relationships/hyperlink" Target="https://fra.europa.eu/en/theme/people-disabilities/eu-crpd-framework/monitoring" TargetMode="External"/><Relationship Id="rId1" Type="http://schemas.openxmlformats.org/officeDocument/2006/relationships/hyperlink" Target="http://data.consilium.europa.eu/doc/document/ST-6170-2017-INIT/en/pdf" TargetMode="External"/><Relationship Id="rId4" Type="http://schemas.openxmlformats.org/officeDocument/2006/relationships/hyperlink" Target="https://fra.europa.eu/en/theme/people-disabilities/eu-crpd-framewor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965</Words>
  <Characters>5505</Characters>
  <Application>Microsoft Office Word</Application>
  <DocSecurity>0</DocSecurity>
  <Lines>45</Lines>
  <Paragraphs>12</Paragraphs>
  <ScaleCrop>false</ScaleCrop>
  <Company/>
  <LinksUpToDate>false</LinksUpToDate>
  <CharactersWithSpaces>6458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2020-05-05T06:00:00Z</dcterms:created>
  <dcterms:modified xsi:type="dcterms:W3CDTF">2020-05-05T09:50:00Z</dcterms:modified>
</cp:coreProperties>
</file>